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9930.xml.htm"/>
      <w:bookmarkStart w:id="1" w:name="kswkform4_17833699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Viola Michael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VIRTU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Virtu Financial, Inc.</w:t>
              </w:r>
            </w:hyperlink>
            <w:r>
              <w:rPr/>
              <w:t xml:space="preserve"> [ </w:t>
            </w:r>
            <w:r>
              <w:rPr>
                <w:rFonts w:ascii="Times;serif" w:hAnsi="Times;serif"/>
                <w:color w:val="0000FF"/>
                <w:sz w:val="24"/>
                <w:shd w:fill="FFFFFF" w:val="clear"/>
              </w:rPr>
              <w:t>VIRT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124,501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54" w:type="dxa"/>
        <w:jc w:val="left"/>
        <w:tblInd w:w="-7" w:type="dxa"/>
        <w:tblLayout w:type="fixed"/>
        <w:tblCellMar>
          <w:top w:w="60" w:type="dxa"/>
          <w:left w:w="60" w:type="dxa"/>
          <w:bottom w:w="60" w:type="dxa"/>
          <w:right w:w="60" w:type="dxa"/>
        </w:tblCellMar>
      </w:tblPr>
      <w:tblGrid>
        <w:gridCol w:w="1100"/>
        <w:gridCol w:w="861"/>
        <w:gridCol w:w="891"/>
        <w:gridCol w:w="771"/>
        <w:gridCol w:w="591"/>
        <w:gridCol w:w="300"/>
        <w:gridCol w:w="606"/>
        <w:gridCol w:w="606"/>
        <w:gridCol w:w="906"/>
        <w:gridCol w:w="801"/>
        <w:gridCol w:w="846"/>
        <w:gridCol w:w="801"/>
        <w:gridCol w:w="801"/>
        <w:gridCol w:w="936"/>
        <w:gridCol w:w="831"/>
        <w:gridCol w:w="90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2,504</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Non-voting common interest units of Virtu Financial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52,235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A common stock issued in settlement of vested restricted stock units ("RSUs") granted under the Issuer's Second Amended and Restated 2015 Management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is granted under the Issuer's Second 2015 Amended and Restated Incentive Plan and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vested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on July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terms of the Exchange Agreement, effective as of April 15, 2015, by and among the Issuer, Virtu Financial LLC and the equityholders of Virtu Financial LLC (the "Exchange Agreement"), Virtu Financial Units, together with a corresponding number of shares of Class C Common Stock, may be exchanged for shares of Class A Common Stock, which have one vote per share and economic rights (including rights to dividends and distributions upon liquidation), on a one-for-one basis at the discretion of the holder. The exchange rights under the Exchange Agreement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By Virtu Employee Holdco LLC, a holding vehicle through which employees and directors of the Issuer hold Virtu Financial Units and shares of Class C Common Stock. The reporting person disclaims beneficial ownership in such Virtu Financial Units and shares held by Virtu Employee Holdco LLC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Justin Waldie,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3310" TargetMode="External"/><Relationship Id="rId5" Type="http://schemas.openxmlformats.org/officeDocument/2006/relationships/hyperlink" Target="http://www.sec.gov/cgi-bin/browse-edgar?action=getcompany&amp;CIK=0001592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844</Words>
  <Characters>4448</Characters>
  <CharactersWithSpaces>5201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