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194.xml.htm"/>
      <w:bookmarkStart w:id="1" w:name="kswkform4_17833701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39,996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withheld for tax by the Issuer in relation to the settlement of vested RSUs in accordance with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1334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3578</Characters>
  <CharactersWithSpaces>4174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